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5742FC">
        <w:trPr>
          <w:jc w:val="center"/>
        </w:trPr>
        <w:tc>
          <w:tcPr>
            <w:tcW w:w="10030" w:type="dxa"/>
          </w:tcPr>
          <w:p w:rsidR="0055041D" w:rsidRDefault="00DC2209" w:rsidP="00DC220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САМОРЕГУЛИРУЕМАЯ  ОРГАНИЗАЦИЯ  АССОЦИАЦИЯ</w:t>
            </w:r>
            <w:r w:rsidR="0055041D" w:rsidRPr="00A3522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A35224">
              <w:rPr>
                <w:rFonts w:cs="Times New Roman"/>
                <w:b/>
                <w:bCs/>
                <w:color w:val="auto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="0055041D" w:rsidRPr="00A35224">
              <w:rPr>
                <w:rFonts w:cs="Times New Roman"/>
                <w:b/>
                <w:bCs/>
              </w:rPr>
              <w:t>РЕКОНСТРУКЦИИ, КАПИТАЛЬНОМ РЕМОНТЕ ОБЪЕКТОВ АТОМНОЙ ОТРАСЛИ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742FC">
              <w:rPr>
                <w:rFonts w:cs="Times New Roman"/>
                <w:b/>
                <w:lang w:eastAsia="en-US"/>
              </w:rPr>
              <w:t xml:space="preserve"> </w:t>
            </w:r>
            <w:r w:rsidR="00B9124B" w:rsidRPr="00A35224">
              <w:rPr>
                <w:rFonts w:cs="Times New Roman"/>
                <w:b/>
                <w:lang w:eastAsia="en-US"/>
              </w:rPr>
              <w:t>«СОЮЗАТОМГЕО</w:t>
            </w:r>
            <w:r w:rsidR="0055041D" w:rsidRPr="00A35224">
              <w:rPr>
                <w:rFonts w:cs="Times New Roman"/>
                <w:b/>
                <w:lang w:eastAsia="en-US"/>
              </w:rPr>
              <w:t>»</w:t>
            </w:r>
          </w:p>
          <w:p w:rsidR="00DC2209" w:rsidRPr="00A35224" w:rsidRDefault="00DC2209" w:rsidP="00DC220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</w:t>
            </w: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C16A40" w:rsidRDefault="00D135BC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190A36" w:rsidRDefault="002F1858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190A36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64119D" w:rsidRDefault="00B9124B" w:rsidP="00D135BC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</w:t>
      </w:r>
      <w:r w:rsidR="006A3C85">
        <w:rPr>
          <w:rFonts w:eastAsia="Calibri" w:cs="Times New Roman"/>
          <w:color w:val="auto"/>
          <w:sz w:val="28"/>
          <w:szCs w:val="28"/>
        </w:rPr>
        <w:t xml:space="preserve"> НП </w:t>
      </w:r>
      <w:r>
        <w:rPr>
          <w:rFonts w:eastAsia="Calibri" w:cs="Times New Roman"/>
          <w:color w:val="auto"/>
          <w:sz w:val="28"/>
          <w:szCs w:val="28"/>
        </w:rPr>
        <w:t>«СОЮЗАТОМГЕО</w:t>
      </w:r>
      <w:r w:rsidR="0055041D" w:rsidRPr="0064119D">
        <w:rPr>
          <w:rFonts w:eastAsia="Calibri" w:cs="Times New Roman"/>
          <w:color w:val="auto"/>
          <w:sz w:val="28"/>
          <w:szCs w:val="28"/>
        </w:rPr>
        <w:t>»</w:t>
      </w:r>
    </w:p>
    <w:p w:rsidR="0055041D" w:rsidRPr="0064119D" w:rsidRDefault="00190A36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</w:t>
      </w:r>
      <w:r w:rsidR="00C16A40">
        <w:rPr>
          <w:rFonts w:eastAsia="Calibri" w:cs="Times New Roman"/>
          <w:color w:val="auto"/>
          <w:sz w:val="28"/>
          <w:szCs w:val="28"/>
        </w:rPr>
        <w:t xml:space="preserve">     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5041D" w:rsidRPr="0064119D">
        <w:rPr>
          <w:rFonts w:eastAsia="Calibri" w:cs="Times New Roman"/>
          <w:color w:val="auto"/>
          <w:sz w:val="28"/>
          <w:szCs w:val="28"/>
        </w:rPr>
        <w:t>Прот</w:t>
      </w:r>
      <w:r w:rsidR="00D135BC">
        <w:rPr>
          <w:rFonts w:eastAsia="Calibri" w:cs="Times New Roman"/>
          <w:color w:val="auto"/>
          <w:sz w:val="28"/>
          <w:szCs w:val="28"/>
        </w:rPr>
        <w:t>окол №12 от 10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C16A40">
        <w:rPr>
          <w:rFonts w:eastAsia="Calibri" w:cs="Times New Roman"/>
          <w:color w:val="auto"/>
          <w:sz w:val="28"/>
          <w:szCs w:val="28"/>
        </w:rPr>
        <w:t xml:space="preserve">февраля </w:t>
      </w:r>
      <w:r>
        <w:rPr>
          <w:rFonts w:eastAsia="Calibri" w:cs="Times New Roman"/>
          <w:color w:val="auto"/>
          <w:sz w:val="28"/>
          <w:szCs w:val="28"/>
        </w:rPr>
        <w:t>2017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D135BC" w:rsidRPr="00D135BC" w:rsidRDefault="00D135BC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 w:rsidRPr="00D135B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D135BC" w:rsidRPr="00D135BC" w:rsidRDefault="00D135BC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 w:rsidRPr="00D135BC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:rsidR="0055041D" w:rsidRDefault="00D135BC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 w:rsidRPr="00D135BC">
        <w:rPr>
          <w:rFonts w:eastAsia="Calibri" w:cs="Times New Roman"/>
          <w:color w:val="auto"/>
          <w:sz w:val="28"/>
          <w:szCs w:val="28"/>
        </w:rPr>
        <w:t>Протокол № 19/12-2017 от 15 декабря 2017 г.</w:t>
      </w:r>
      <w:r w:rsidR="00C95B14">
        <w:rPr>
          <w:rFonts w:eastAsia="Calibri" w:cs="Times New Roman"/>
          <w:color w:val="auto"/>
          <w:sz w:val="28"/>
          <w:szCs w:val="28"/>
        </w:rPr>
        <w:t>,</w:t>
      </w:r>
    </w:p>
    <w:p w:rsidR="00C95B14" w:rsidRPr="00C95B14" w:rsidRDefault="00C95B14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C95B14" w:rsidRPr="00C95B14" w:rsidRDefault="00C95B14" w:rsidP="00C95B1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95B14">
        <w:rPr>
          <w:rFonts w:eastAsia="Calibri" w:cs="Times New Roman"/>
          <w:color w:val="auto"/>
          <w:sz w:val="28"/>
          <w:szCs w:val="28"/>
        </w:rPr>
        <w:t xml:space="preserve">Совета СРО «СОЮЗАТОМГЕО» </w:t>
      </w:r>
    </w:p>
    <w:p w:rsidR="00C95B14" w:rsidRPr="00D135BC" w:rsidRDefault="00371E4D" w:rsidP="00D135B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12/04-2018 от</w:t>
      </w:r>
      <w:r w:rsidR="003F2C8C">
        <w:rPr>
          <w:rFonts w:eastAsia="Calibri" w:cs="Times New Roman"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6F020B" w:rsidRPr="006F020B">
        <w:rPr>
          <w:rFonts w:eastAsia="Calibri" w:cs="Times New Roman"/>
          <w:color w:val="auto"/>
          <w:sz w:val="28"/>
          <w:szCs w:val="28"/>
        </w:rPr>
        <w:t>2018 г.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D135BC" w:rsidRDefault="00D135BC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DC2209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C220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Default="004C2B47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ГЛАВНЫЙ ИНЖЕНЕР ПРОЕКТА </w:t>
      </w:r>
    </w:p>
    <w:p w:rsidR="00FA60B8" w:rsidRPr="00B45540" w:rsidRDefault="00FA60B8" w:rsidP="00FA60B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(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>РУКОВОДИТЕЛЬ  ПРОЕКТА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Pr="00B4554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Pr="00A41CC4" w:rsidRDefault="006C127D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 ОРГАНИЗАЦИИ</w:t>
      </w:r>
      <w:r w:rsidR="00B9124B">
        <w:rPr>
          <w:rFonts w:ascii="Times New Roman" w:hAnsi="Times New Roman" w:cs="Times New Roman"/>
          <w:smallCaps/>
          <w:color w:val="auto"/>
          <w:sz w:val="30"/>
          <w:szCs w:val="30"/>
        </w:rPr>
        <w:t xml:space="preserve"> </w:t>
      </w:r>
      <w:r w:rsidR="00B9124B" w:rsidRPr="00A41CC4">
        <w:rPr>
          <w:rFonts w:ascii="Times New Roman" w:hAnsi="Times New Roman" w:cs="Times New Roman"/>
          <w:smallCaps/>
          <w:color w:val="auto"/>
          <w:sz w:val="28"/>
          <w:szCs w:val="28"/>
        </w:rPr>
        <w:t>ИНЖЕНЕРНЫХ ИЗЫСКАНИЙ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31247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КС-И</w:t>
      </w:r>
      <w:r w:rsidR="00D135BC"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-001-2017</w:t>
      </w: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i/>
          <w:color w:val="auto"/>
          <w:sz w:val="28"/>
          <w:szCs w:val="28"/>
          <w:lang w:eastAsia="en-US"/>
        </w:rPr>
      </w:pPr>
    </w:p>
    <w:p w:rsidR="0055041D" w:rsidRPr="0064119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6F020B" w:rsidRDefault="006F020B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16A40" w:rsidRDefault="00C16A40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572B3F" w:rsidRDefault="00D135BC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572B3F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64119D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572B3F">
        <w:rPr>
          <w:rFonts w:cs="Times New Roman"/>
          <w:color w:val="auto"/>
          <w:sz w:val="28"/>
          <w:szCs w:val="28"/>
          <w:lang w:eastAsia="en-US"/>
        </w:rPr>
        <w:t>2017</w:t>
      </w:r>
      <w:r w:rsidR="00D135BC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DC2209">
      <w:pPr>
        <w:rPr>
          <w:color w:val="auto"/>
        </w:rPr>
        <w:sectPr w:rsidR="0055041D" w:rsidRPr="0064119D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DC2209" w:rsidP="00DC2209">
      <w:pPr>
        <w:pStyle w:val="10"/>
        <w:spacing w:before="0" w:after="0"/>
        <w:ind w:firstLine="0"/>
        <w:jc w:val="both"/>
        <w:rPr>
          <w:szCs w:val="28"/>
        </w:rPr>
      </w:pPr>
      <w:bookmarkStart w:id="0" w:name="_Toc434482465"/>
      <w:bookmarkStart w:id="1" w:name="_Toc460838801"/>
      <w:r>
        <w:rPr>
          <w:szCs w:val="28"/>
        </w:rPr>
        <w:lastRenderedPageBreak/>
        <w:t xml:space="preserve">1. </w:t>
      </w:r>
      <w:r w:rsidR="00337D05" w:rsidRPr="00FB2B69">
        <w:rPr>
          <w:szCs w:val="28"/>
        </w:rPr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 xml:space="preserve">главного инженера проекта </w:t>
      </w:r>
      <w:r w:rsidR="00FA60B8" w:rsidRPr="00FB2B69">
        <w:rPr>
          <w:rFonts w:ascii="Times New Roman" w:hAnsi="Times New Roman" w:cs="Times New Roman"/>
          <w:color w:val="auto"/>
          <w:sz w:val="28"/>
          <w:szCs w:val="28"/>
        </w:rPr>
        <w:t>(руководитель проекта)</w:t>
      </w:r>
      <w:r w:rsidR="00FA60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по организации инженерных изысканий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, далее по тексту «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4D1B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 документами СРО «СОЮЗАТОМГЕО», с учетом требований законодательства Российской Федерации</w:t>
      </w:r>
    </w:p>
    <w:p w:rsidR="00976A8E" w:rsidRPr="00FB2B69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 руководителю проекту, для осуществления трудовой функции  по выполнению инженерных изысканий для подготовки проектной документации  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FB2B69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FB2B69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976A8E" w:rsidRPr="00FB2B69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соответствии с настоящим стандартом проводится  разработка должностных инструкций руководителя проекта с учетом конкретной специфики изыскательской организации. </w:t>
      </w:r>
    </w:p>
    <w:p w:rsidR="00976A8E" w:rsidRPr="00FB2B69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FB2B69" w:rsidRDefault="00011A70" w:rsidP="00011A70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FB2B69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0B2D" w:rsidRPr="001A6D61" w:rsidRDefault="00183B49" w:rsidP="003F2C8C">
      <w:pPr>
        <w:pStyle w:val="aa"/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430B2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проекта 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всем видам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="001A6D61" w:rsidRPr="004C2B47">
        <w:rPr>
          <w:rFonts w:ascii="Times New Roman" w:hAnsi="Times New Roman" w:cs="Times New Roman"/>
          <w:color w:val="auto"/>
          <w:sz w:val="28"/>
          <w:szCs w:val="28"/>
        </w:rPr>
        <w:t>в составе: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7DFA" w:rsidRPr="00FB2B69" w:rsidRDefault="008A0AF6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E900CE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:rsidR="003C7DFA" w:rsidRPr="00FB2B69" w:rsidRDefault="003C7DFA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FB2B69" w:rsidRDefault="00D60A88" w:rsidP="003F2C8C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460ABA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руководителя проекта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организаций;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, составление заданий на планируемый календарный год (год, квартал, месяц, декада);</w:t>
      </w:r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проведение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комплексных инженерных изысканий (ордер-разрешение на проведение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(согласование со службами коммуникаций мест горно-буровых работ)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, наряды-допуски на опасные объекты и т.п.);</w:t>
      </w:r>
    </w:p>
    <w:p w:rsidR="008521B0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формирование сводного отчета  комплексных инженерных изысканий.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устранение обнаруженных дефектов изыскательской документации;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согласование обоснованные отступления от действующих норм, правил, инструкций с органами государственного надзора и другими орг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анизациями, утвердившими их;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DC2209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00CE" w:rsidRPr="00FB2B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руководителя проекта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9B1F40"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0D3160" w:rsidRPr="00FB2B69" w:rsidRDefault="000D3160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20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СРО «СОЮЗАТОМГЕО»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инженерно-геотехнических,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A64888" w:rsidRPr="00FB2B69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патентоведения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особо опасным, технически сложны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уникальным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>, за исключением объектов использования атомной энергии;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другим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объектам</w:t>
      </w:r>
      <w:r w:rsidR="0048163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 Требования стандарта СРО «СОЮЗАТОМГЕО» по функционированию системы управления охраной труда,  обеспечивающей безопасное проведение инженерных изысканий, включая правила и методы выполнения работ на высоте.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работников изыскательской организации.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E41FD" w:rsidRPr="00FB2B69" w:rsidRDefault="004F0924" w:rsidP="004F0924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6D3AE6" w:rsidRPr="00FB2B69" w:rsidRDefault="009B1F40" w:rsidP="00DC2209">
      <w:pPr>
        <w:pStyle w:val="aa"/>
        <w:numPr>
          <w:ilvl w:val="1"/>
          <w:numId w:val="10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 проекта</w:t>
      </w:r>
      <w:r w:rsidR="00D95018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45AC6" w:rsidRPr="00FB2B69" w:rsidRDefault="00045AC6" w:rsidP="00045AC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08AA" w:rsidRPr="00FB2B69" w:rsidRDefault="001C0E57" w:rsidP="003F2C8C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  <w:r w:rsidR="006A4245">
        <w:rPr>
          <w:color w:val="auto"/>
          <w:sz w:val="28"/>
          <w:szCs w:val="28"/>
        </w:rPr>
        <w:t>.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3.2.4</w:t>
      </w:r>
      <w:r w:rsidR="00A43A5B" w:rsidRPr="00FB2B69">
        <w:rPr>
          <w:color w:val="auto"/>
          <w:sz w:val="28"/>
          <w:szCs w:val="28"/>
        </w:rPr>
        <w:t>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6A4245">
        <w:rPr>
          <w:color w:val="auto"/>
          <w:sz w:val="28"/>
          <w:szCs w:val="28"/>
        </w:rPr>
        <w:t>.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сетевые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планы-графики третьего уровня по выполнению всех видов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Обеспечить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 (год, квартал, месяц, декада).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соблюдение и контроль  выполнения требований  охраны труда в процессе инженерных изысканий, в т.ч. в случае проведения работ на высоте.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подрядной и субподрядных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и согласовании проектно-сметной документации совместно с генеральной подрядной строительной организацией.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>. Проводить защиту результатов инженерных изысканий                   в вышестоящих организациях и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изыскательской документации.</w:t>
      </w:r>
    </w:p>
    <w:p w:rsidR="000E4CC5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8A1276" w:rsidRPr="00FB2B69" w:rsidRDefault="008A1276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011A70">
      <w:pPr>
        <w:pStyle w:val="a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квалификации руководителя проекта</w:t>
      </w:r>
    </w:p>
    <w:p w:rsidR="00337E57" w:rsidRDefault="006A4245" w:rsidP="008A1276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337E5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F3106" w:rsidRPr="006A4245" w:rsidRDefault="006F3106" w:rsidP="006F3106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41D2"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наличие </w:t>
      </w:r>
      <w:r w:rsidR="008441D2" w:rsidRPr="006A42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8441D2" w:rsidRPr="006A4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F2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: инженерная геология (код 0107,), гидрогеология и инженерная геология (коды 0107,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011400,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020304,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08.04), инженерная геодезия (код 1301),  геология (коды 011100,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020300,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511000), геодезия (коды 120100,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552300,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650300),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геодезия и дистанционное зондирование (коды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21.03.03,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21.04.03), астрономогеодезия (коды 120102,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30.02), </w:t>
      </w:r>
      <w:proofErr w:type="spellStart"/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120202,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1303,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03), геоморфология (код 2030),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геоэкология (код 013600),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гео</w:t>
      </w:r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 (код 020302), гидрология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012700,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073200), гидрометеорология 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920600,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510900),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метеорология 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01.19,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012600,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073100,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1404), метеорология специального назначения (коды 021605,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05.05.01), прикладная гидрометеорология (коды 05.03.05,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280400),  поиски и разведка подземных вод и инженерно-геологические</w:t>
      </w:r>
      <w:proofErr w:type="gramEnd"/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изыскания (коды 080300,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130302), геология и разведка полезных ископаемых (коды 130100,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553200), прикладная геодезия 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120401,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1301,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21.05.01,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300100,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30.01),прикладная геология 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(коды 130101,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130300,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650100), экология (коды 013100, 020801), экологическая геология (код 020306), экология и природопользование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020800, 022000,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8441D2" w:rsidRPr="006A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978">
        <w:rPr>
          <w:rFonts w:ascii="Times New Roman" w:hAnsi="Times New Roman" w:cs="Times New Roman"/>
          <w:color w:val="000000" w:themeColor="text1"/>
          <w:sz w:val="28"/>
          <w:szCs w:val="28"/>
        </w:rPr>
        <w:t>511100);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не реже одного раза в 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65090E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6A4245" w:rsidRDefault="00257F94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6F020B" w:rsidRPr="006F020B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6F020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F020B" w:rsidRPr="006F020B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6F02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7F94" w:rsidRDefault="006A4245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257F9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57F94" w:rsidRDefault="00257F94" w:rsidP="00257F9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руководителе проекта как о специалисте по организации инже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>нерных изысканий  в национальный реестр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337E57" w:rsidRPr="0065090E" w:rsidRDefault="006A4245" w:rsidP="00337E5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4.4.</w:t>
      </w:r>
      <w:r w:rsidR="00337E57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требованиям контролирующих органов.</w:t>
      </w:r>
    </w:p>
    <w:p w:rsidR="006F020B" w:rsidRDefault="006F020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E900CE" w:rsidP="00DC220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FB2B69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руководителя проекта</w:t>
      </w:r>
    </w:p>
    <w:p w:rsidR="00AF76FC" w:rsidRPr="00FB2B69" w:rsidRDefault="00AF76FC" w:rsidP="00AF76FC">
      <w:pPr>
        <w:pStyle w:val="aa"/>
        <w:widowControl/>
        <w:ind w:left="158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FB2B69" w:rsidRDefault="008A2CA9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проекта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AF76FC" w:rsidRPr="00FB2B69">
        <w:rPr>
          <w:rFonts w:ascii="Times New Roman" w:hAnsi="Times New Roman" w:cs="Times New Roman"/>
          <w:color w:val="auto"/>
          <w:sz w:val="28"/>
          <w:szCs w:val="28"/>
        </w:rPr>
        <w:t>руководителя проекта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FB2B6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A2605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 приказах по</w:t>
      </w:r>
      <w:r w:rsidR="00C40B6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2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GoBack"/>
      <w:bookmarkEnd w:id="2"/>
    </w:p>
    <w:sectPr w:rsidR="00CA746E" w:rsidRPr="00FB2B69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6F" w:rsidRDefault="0038586F" w:rsidP="00337D05">
      <w:r>
        <w:separator/>
      </w:r>
    </w:p>
  </w:endnote>
  <w:endnote w:type="continuationSeparator" w:id="0">
    <w:p w:rsidR="0038586F" w:rsidRDefault="0038586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20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4C2B47" w:rsidRDefault="00830A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C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6F" w:rsidRDefault="0038586F" w:rsidP="00337D05">
      <w:r>
        <w:separator/>
      </w:r>
    </w:p>
  </w:footnote>
  <w:footnote w:type="continuationSeparator" w:id="0">
    <w:p w:rsidR="0038586F" w:rsidRDefault="0038586F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D778E"/>
    <w:multiLevelType w:val="multilevel"/>
    <w:tmpl w:val="AD9A9B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>
    <w:nsid w:val="6749189A"/>
    <w:multiLevelType w:val="multilevel"/>
    <w:tmpl w:val="F17A53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F5D1831"/>
    <w:multiLevelType w:val="hybridMultilevel"/>
    <w:tmpl w:val="DA2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11A70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53D9"/>
    <w:rsid w:val="00156340"/>
    <w:rsid w:val="00162A98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E5513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29DD"/>
    <w:rsid w:val="00265F2E"/>
    <w:rsid w:val="0026641C"/>
    <w:rsid w:val="00280373"/>
    <w:rsid w:val="0028038A"/>
    <w:rsid w:val="0028194A"/>
    <w:rsid w:val="002924F0"/>
    <w:rsid w:val="002938A3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1247D"/>
    <w:rsid w:val="003322AE"/>
    <w:rsid w:val="003332CA"/>
    <w:rsid w:val="00333514"/>
    <w:rsid w:val="00336EEB"/>
    <w:rsid w:val="00337435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71E4D"/>
    <w:rsid w:val="0038132D"/>
    <w:rsid w:val="00383430"/>
    <w:rsid w:val="003857E9"/>
    <w:rsid w:val="0038586F"/>
    <w:rsid w:val="00394A67"/>
    <w:rsid w:val="00397852"/>
    <w:rsid w:val="003B2997"/>
    <w:rsid w:val="003C281C"/>
    <w:rsid w:val="003C32A5"/>
    <w:rsid w:val="003C672A"/>
    <w:rsid w:val="003C7DFA"/>
    <w:rsid w:val="003D3C7C"/>
    <w:rsid w:val="003D788E"/>
    <w:rsid w:val="003F2C8C"/>
    <w:rsid w:val="004057FF"/>
    <w:rsid w:val="0041197D"/>
    <w:rsid w:val="00430B2D"/>
    <w:rsid w:val="00430E54"/>
    <w:rsid w:val="00436194"/>
    <w:rsid w:val="004403B0"/>
    <w:rsid w:val="004458F8"/>
    <w:rsid w:val="00450978"/>
    <w:rsid w:val="00460ABA"/>
    <w:rsid w:val="00474411"/>
    <w:rsid w:val="00481633"/>
    <w:rsid w:val="004941A7"/>
    <w:rsid w:val="004C2B47"/>
    <w:rsid w:val="004D04B0"/>
    <w:rsid w:val="004E2E63"/>
    <w:rsid w:val="004E3495"/>
    <w:rsid w:val="004E3622"/>
    <w:rsid w:val="004F0924"/>
    <w:rsid w:val="004F1290"/>
    <w:rsid w:val="004F2B0D"/>
    <w:rsid w:val="00505AD7"/>
    <w:rsid w:val="00507E5C"/>
    <w:rsid w:val="005225F1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67602"/>
    <w:rsid w:val="00681F05"/>
    <w:rsid w:val="00682FCD"/>
    <w:rsid w:val="00684E70"/>
    <w:rsid w:val="0068685F"/>
    <w:rsid w:val="006906C2"/>
    <w:rsid w:val="0069182F"/>
    <w:rsid w:val="006A3C85"/>
    <w:rsid w:val="006A4245"/>
    <w:rsid w:val="006C0291"/>
    <w:rsid w:val="006C127D"/>
    <w:rsid w:val="006D24DF"/>
    <w:rsid w:val="006D3AE6"/>
    <w:rsid w:val="006D6329"/>
    <w:rsid w:val="006E41FD"/>
    <w:rsid w:val="006E42ED"/>
    <w:rsid w:val="006F020B"/>
    <w:rsid w:val="006F22D9"/>
    <w:rsid w:val="006F2829"/>
    <w:rsid w:val="006F2D32"/>
    <w:rsid w:val="006F3106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0A10"/>
    <w:rsid w:val="008351CE"/>
    <w:rsid w:val="008377A9"/>
    <w:rsid w:val="008441D2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7DAA"/>
    <w:rsid w:val="00947E2B"/>
    <w:rsid w:val="009578F8"/>
    <w:rsid w:val="00962650"/>
    <w:rsid w:val="00963C65"/>
    <w:rsid w:val="009710F5"/>
    <w:rsid w:val="00973767"/>
    <w:rsid w:val="00976A8E"/>
    <w:rsid w:val="009776A1"/>
    <w:rsid w:val="009A4E90"/>
    <w:rsid w:val="009B076D"/>
    <w:rsid w:val="009B1F40"/>
    <w:rsid w:val="009C6134"/>
    <w:rsid w:val="009D3663"/>
    <w:rsid w:val="009E5FDB"/>
    <w:rsid w:val="00A04133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93E74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16A40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B14"/>
    <w:rsid w:val="00CA49E0"/>
    <w:rsid w:val="00CA746E"/>
    <w:rsid w:val="00CB2529"/>
    <w:rsid w:val="00CB6D67"/>
    <w:rsid w:val="00CC2A99"/>
    <w:rsid w:val="00CC302B"/>
    <w:rsid w:val="00CC7411"/>
    <w:rsid w:val="00D053F8"/>
    <w:rsid w:val="00D135BC"/>
    <w:rsid w:val="00D200AE"/>
    <w:rsid w:val="00D2051C"/>
    <w:rsid w:val="00D254C3"/>
    <w:rsid w:val="00D31539"/>
    <w:rsid w:val="00D34F5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8FD"/>
    <w:rsid w:val="00DB5316"/>
    <w:rsid w:val="00DC2209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47898"/>
    <w:rsid w:val="00E537A7"/>
    <w:rsid w:val="00E638C0"/>
    <w:rsid w:val="00E731E6"/>
    <w:rsid w:val="00E82197"/>
    <w:rsid w:val="00E900CE"/>
    <w:rsid w:val="00EA7859"/>
    <w:rsid w:val="00EB4105"/>
    <w:rsid w:val="00EB6033"/>
    <w:rsid w:val="00F01C24"/>
    <w:rsid w:val="00F03AC6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A4FB3"/>
    <w:rsid w:val="00FA60B8"/>
    <w:rsid w:val="00FA7F03"/>
    <w:rsid w:val="00FB2B69"/>
    <w:rsid w:val="00FB60FD"/>
    <w:rsid w:val="00FD3C66"/>
    <w:rsid w:val="00FD5F68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D956-3984-4357-9C44-159DC43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18</cp:revision>
  <cp:lastPrinted>2017-02-07T07:47:00Z</cp:lastPrinted>
  <dcterms:created xsi:type="dcterms:W3CDTF">2017-12-06T15:24:00Z</dcterms:created>
  <dcterms:modified xsi:type="dcterms:W3CDTF">2018-04-16T12:12:00Z</dcterms:modified>
</cp:coreProperties>
</file>